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D" w:rsidRDefault="001F2A1D" w:rsidP="001F2A1D">
      <w:pPr>
        <w:pStyle w:val="HTML"/>
      </w:pPr>
    </w:p>
    <w:p w:rsidR="001F2A1D" w:rsidRDefault="001F2A1D" w:rsidP="001F2A1D">
      <w:pPr>
        <w:pStyle w:val="HTML"/>
        <w:jc w:val="center"/>
      </w:pPr>
    </w:p>
    <w:p w:rsidR="001F2A1D" w:rsidRDefault="001F2A1D" w:rsidP="001F2A1D">
      <w:pPr>
        <w:pStyle w:val="HTML"/>
        <w:jc w:val="center"/>
      </w:pPr>
    </w:p>
    <w:p w:rsidR="001F2A1D" w:rsidRDefault="00923295" w:rsidP="001F2A1D">
      <w:pPr>
        <w:pStyle w:val="HTML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1D" w:rsidRDefault="001F2A1D" w:rsidP="001F2A1D">
      <w:pPr>
        <w:pStyle w:val="HTML"/>
        <w:jc w:val="center"/>
      </w:pPr>
    </w:p>
    <w:p w:rsidR="001F2A1D" w:rsidRDefault="001F2A1D" w:rsidP="001F2A1D">
      <w:pPr>
        <w:pStyle w:val="HTML"/>
        <w:jc w:val="center"/>
      </w:pPr>
    </w:p>
    <w:p w:rsidR="001F2A1D" w:rsidRDefault="001F2A1D" w:rsidP="001F2A1D">
      <w:pPr>
        <w:pStyle w:val="HTML"/>
        <w:jc w:val="center"/>
      </w:pPr>
      <w:r>
        <w:t xml:space="preserve">КАБІНЕТ МІНІСТРІВ УКРАЇНИ </w:t>
      </w:r>
      <w:r>
        <w:br/>
      </w:r>
    </w:p>
    <w:p w:rsidR="001F2A1D" w:rsidRDefault="001F2A1D" w:rsidP="001F2A1D">
      <w:pPr>
        <w:pStyle w:val="HTML"/>
        <w:jc w:val="center"/>
      </w:pPr>
      <w:bookmarkStart w:id="0" w:name="2"/>
      <w:bookmarkEnd w:id="0"/>
      <w:r>
        <w:rPr>
          <w:b/>
          <w:bCs/>
        </w:rPr>
        <w:t xml:space="preserve">П О С Т А Н О В А </w:t>
      </w:r>
      <w:r>
        <w:rPr>
          <w:b/>
          <w:bCs/>
        </w:rPr>
        <w:br/>
        <w:t xml:space="preserve">                   від 4 серпня 2000 р. N 1222 </w:t>
      </w:r>
      <w:r>
        <w:rPr>
          <w:b/>
          <w:bCs/>
        </w:rPr>
        <w:br/>
        <w:t xml:space="preserve">                               Київ </w:t>
      </w:r>
      <w:r>
        <w:rPr>
          <w:b/>
          <w:bCs/>
        </w:rPr>
        <w:br/>
      </w:r>
    </w:p>
    <w:p w:rsidR="001F2A1D" w:rsidRDefault="001F2A1D" w:rsidP="001F2A1D">
      <w:pPr>
        <w:pStyle w:val="HTML"/>
      </w:pPr>
      <w:bookmarkStart w:id="1" w:name="3"/>
      <w:bookmarkEnd w:id="1"/>
      <w:r>
        <w:t xml:space="preserve">          Про затвердження Порядку отримання благодійних </w:t>
      </w:r>
      <w:r>
        <w:br/>
        <w:t xml:space="preserve">        (добровільних) внесків і пожертв від юридичних та </w:t>
      </w:r>
      <w:r>
        <w:br/>
        <w:t xml:space="preserve">     фізичних осіб бюджетними установами і закладами освіти, </w:t>
      </w:r>
      <w:r>
        <w:br/>
        <w:t xml:space="preserve">     охорони здоров'я, соціального захисту, культури, науки, </w:t>
      </w:r>
      <w:r>
        <w:br/>
        <w:t xml:space="preserve">             спорту та фізичного виховання для потреб </w:t>
      </w:r>
      <w:r>
        <w:br/>
        <w:t xml:space="preserve">                         їх фінансування </w:t>
      </w:r>
      <w:r>
        <w:br/>
      </w:r>
    </w:p>
    <w:p w:rsidR="001F2A1D" w:rsidRDefault="001F2A1D" w:rsidP="001F2A1D">
      <w:pPr>
        <w:pStyle w:val="HTML"/>
      </w:pPr>
      <w:bookmarkStart w:id="2" w:name="4"/>
      <w:bookmarkEnd w:id="2"/>
      <w:r>
        <w:rPr>
          <w:i/>
          <w:iCs/>
        </w:rPr>
        <w:t xml:space="preserve">      { Назва  Постанови із  змінами,  внесеними згідно з </w:t>
      </w:r>
      <w:r>
        <w:rPr>
          <w:i/>
          <w:iCs/>
        </w:rPr>
        <w:br/>
        <w:t xml:space="preserve">        Постановою КМ N 368 ( </w:t>
      </w:r>
      <w:hyperlink r:id="rId5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3" w:name="5"/>
      <w:bookmarkEnd w:id="3"/>
      <w:r>
        <w:rPr>
          <w:i/>
          <w:iCs/>
        </w:rPr>
        <w:t xml:space="preserve">          { Із змінами, внесеними згідно з Постановою КМ </w:t>
      </w:r>
      <w:r>
        <w:rPr>
          <w:i/>
          <w:iCs/>
        </w:rPr>
        <w:br/>
        <w:t xml:space="preserve">            N 368 ( </w:t>
      </w:r>
      <w:hyperlink r:id="rId6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4" w:name="6"/>
      <w:bookmarkEnd w:id="4"/>
      <w:r>
        <w:rPr>
          <w:i/>
          <w:iCs/>
        </w:rPr>
        <w:t xml:space="preserve">          {  Додатково див. Указ Президента </w:t>
      </w:r>
      <w:r>
        <w:rPr>
          <w:i/>
          <w:iCs/>
        </w:rPr>
        <w:br/>
        <w:t xml:space="preserve">             N 287/2009 ( </w:t>
      </w:r>
      <w:hyperlink r:id="rId7" w:history="1">
        <w:r>
          <w:rPr>
            <w:rStyle w:val="a3"/>
            <w:i/>
            <w:iCs/>
          </w:rPr>
          <w:t>287/2009</w:t>
        </w:r>
      </w:hyperlink>
      <w:r>
        <w:rPr>
          <w:i/>
          <w:iCs/>
        </w:rPr>
        <w:t xml:space="preserve"> ) від 30.04.2009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5" w:name="7"/>
      <w:bookmarkEnd w:id="5"/>
      <w:r>
        <w:rPr>
          <w:i/>
          <w:iCs/>
        </w:rPr>
        <w:t xml:space="preserve">          { Додатково див. Рішення Конституційного Суду </w:t>
      </w:r>
      <w:r>
        <w:rPr>
          <w:i/>
          <w:iCs/>
        </w:rPr>
        <w:br/>
        <w:t xml:space="preserve">            N 28-рп/2009 ( </w:t>
      </w:r>
      <w:hyperlink r:id="rId8" w:history="1">
        <w:r>
          <w:rPr>
            <w:rStyle w:val="a3"/>
            <w:i/>
            <w:iCs/>
          </w:rPr>
          <w:t>v028p710-09</w:t>
        </w:r>
      </w:hyperlink>
      <w:r>
        <w:rPr>
          <w:i/>
          <w:iCs/>
        </w:rPr>
        <w:t xml:space="preserve"> ) від 28.10.2009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6" w:name="8"/>
      <w:bookmarkEnd w:id="6"/>
      <w:r>
        <w:rPr>
          <w:i/>
          <w:iCs/>
        </w:rPr>
        <w:t xml:space="preserve">          { Із змінами, внесеними згідно з Постановою КМ </w:t>
      </w:r>
      <w:r>
        <w:rPr>
          <w:i/>
          <w:iCs/>
        </w:rPr>
        <w:br/>
        <w:t xml:space="preserve">            N 245 ( </w:t>
      </w:r>
      <w:hyperlink r:id="rId9" w:history="1">
        <w:r>
          <w:rPr>
            <w:rStyle w:val="a3"/>
            <w:i/>
            <w:iCs/>
          </w:rPr>
          <w:t>245-2010-п</w:t>
        </w:r>
      </w:hyperlink>
      <w:r>
        <w:rPr>
          <w:i/>
          <w:iCs/>
        </w:rPr>
        <w:t xml:space="preserve"> ) від 17.02.2010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7" w:name="9"/>
      <w:bookmarkEnd w:id="7"/>
      <w:r>
        <w:t xml:space="preserve">     Кабінет Міністрів України </w:t>
      </w:r>
      <w:r>
        <w:rPr>
          <w:b/>
          <w:bCs/>
        </w:rPr>
        <w:t>п о с т а н о в л я є</w:t>
      </w:r>
      <w:r>
        <w:t>:</w:t>
      </w:r>
    </w:p>
    <w:p w:rsidR="001F2A1D" w:rsidRDefault="001F2A1D" w:rsidP="001F2A1D">
      <w:pPr>
        <w:pStyle w:val="HTML"/>
      </w:pPr>
      <w:bookmarkStart w:id="8" w:name="10"/>
      <w:bookmarkEnd w:id="8"/>
      <w:r>
        <w:rPr>
          <w:i/>
          <w:iCs/>
        </w:rPr>
        <w:t xml:space="preserve">{  Вступна  частина  із  змінами, внесеними згідно з Постановою КМ </w:t>
      </w:r>
      <w:r>
        <w:rPr>
          <w:i/>
          <w:iCs/>
        </w:rPr>
        <w:br/>
        <w:t xml:space="preserve">N 368 ( </w:t>
      </w:r>
      <w:hyperlink r:id="rId10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9" w:name="11"/>
      <w:bookmarkEnd w:id="9"/>
      <w:r>
        <w:t xml:space="preserve">     Затвердити   Порядок   отримання  благодійних  (добровільних) </w:t>
      </w:r>
      <w:r>
        <w:br/>
        <w:t xml:space="preserve">внесків  і  пожертв  від  юридичних  та  фізичних  осіб бюджетними </w:t>
      </w:r>
      <w:r>
        <w:br/>
        <w:t xml:space="preserve">установами  і  закладами  освіти,  охорони  здоров'я,  соціального </w:t>
      </w:r>
      <w:r>
        <w:br/>
        <w:t xml:space="preserve">захисту, культури, науки, спорту та фізичного виховання для потреб </w:t>
      </w:r>
      <w:r>
        <w:br/>
        <w:t>їх фінансування, що додається.</w:t>
      </w:r>
    </w:p>
    <w:p w:rsidR="001F2A1D" w:rsidRDefault="001F2A1D" w:rsidP="001F2A1D">
      <w:pPr>
        <w:pStyle w:val="HTML"/>
      </w:pPr>
      <w:bookmarkStart w:id="10" w:name="12"/>
      <w:bookmarkEnd w:id="10"/>
      <w:r>
        <w:rPr>
          <w:i/>
          <w:iCs/>
        </w:rPr>
        <w:t xml:space="preserve">{  Постановляюча частина із змінами, внесеними згідно з Постановою </w:t>
      </w:r>
      <w:r>
        <w:rPr>
          <w:i/>
          <w:iCs/>
        </w:rPr>
        <w:br/>
        <w:t xml:space="preserve">КМ N 368 ( </w:t>
      </w:r>
      <w:hyperlink r:id="rId11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11" w:name="13"/>
      <w:bookmarkEnd w:id="11"/>
      <w:r>
        <w:t xml:space="preserve">     Прем'єр-міністр України                              В.ЮЩЕНКО </w:t>
      </w:r>
      <w:r>
        <w:br/>
      </w:r>
    </w:p>
    <w:p w:rsidR="001F2A1D" w:rsidRDefault="001F2A1D" w:rsidP="001F2A1D">
      <w:pPr>
        <w:pStyle w:val="HTML"/>
      </w:pPr>
      <w:bookmarkStart w:id="12" w:name="14"/>
      <w:bookmarkEnd w:id="12"/>
      <w:r>
        <w:t xml:space="preserve">     Інд. 28 </w:t>
      </w:r>
      <w:r>
        <w:br/>
        <w:t xml:space="preserve"> </w:t>
      </w:r>
      <w:r>
        <w:br/>
      </w:r>
    </w:p>
    <w:p w:rsidR="001F2A1D" w:rsidRDefault="001F2A1D" w:rsidP="001F2A1D">
      <w:pPr>
        <w:pStyle w:val="HTML"/>
      </w:pPr>
      <w:bookmarkStart w:id="13" w:name="15"/>
      <w:bookmarkEnd w:id="13"/>
      <w:r>
        <w:t xml:space="preserve">                                          ЗАТВЕРДЖЕНО </w:t>
      </w:r>
      <w:r>
        <w:br/>
        <w:t xml:space="preserve">                             постановою Кабінету Міністрів України </w:t>
      </w:r>
      <w:r>
        <w:br/>
        <w:t xml:space="preserve">                                  від 4 серпня 2000 р. N 1222 </w:t>
      </w:r>
      <w:r>
        <w:br/>
      </w:r>
    </w:p>
    <w:p w:rsidR="001F2A1D" w:rsidRDefault="001F2A1D" w:rsidP="001F2A1D">
      <w:pPr>
        <w:pStyle w:val="HTML"/>
      </w:pPr>
      <w:bookmarkStart w:id="14" w:name="16"/>
      <w:bookmarkEnd w:id="14"/>
      <w:r>
        <w:rPr>
          <w:b/>
          <w:bCs/>
        </w:rPr>
        <w:t xml:space="preserve">                             ПОРЯДОК </w:t>
      </w:r>
      <w:r>
        <w:rPr>
          <w:b/>
          <w:bCs/>
        </w:rPr>
        <w:br/>
        <w:t xml:space="preserve">    отримання благодійних (добровільних) внесків і пожертв від </w:t>
      </w:r>
      <w:r>
        <w:rPr>
          <w:b/>
          <w:bCs/>
        </w:rPr>
        <w:br/>
        <w:t xml:space="preserve">   юридичних та фізичних осіб бюджетними установами і закладами </w:t>
      </w:r>
      <w:r>
        <w:rPr>
          <w:b/>
          <w:bCs/>
        </w:rPr>
        <w:br/>
        <w:t xml:space="preserve">     освіти, охорони здоров'я, соціального захисту, культури, </w:t>
      </w:r>
      <w:r>
        <w:rPr>
          <w:b/>
          <w:bCs/>
        </w:rPr>
        <w:br/>
        <w:t xml:space="preserve">             науки, спорту та фізичного виховання для 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                      потреб їх фінансування </w:t>
      </w:r>
      <w:r>
        <w:rPr>
          <w:b/>
          <w:bCs/>
        </w:rPr>
        <w:br/>
      </w:r>
    </w:p>
    <w:p w:rsidR="001F2A1D" w:rsidRDefault="001F2A1D" w:rsidP="001F2A1D">
      <w:pPr>
        <w:pStyle w:val="HTML"/>
      </w:pPr>
      <w:bookmarkStart w:id="15" w:name="17"/>
      <w:bookmarkEnd w:id="15"/>
      <w:r>
        <w:rPr>
          <w:i/>
          <w:iCs/>
        </w:rPr>
        <w:t xml:space="preserve">{ Назва Порядку із змінами, внесеними згідно з Постановою КМ N 368 </w:t>
      </w:r>
      <w:r>
        <w:rPr>
          <w:i/>
          <w:iCs/>
        </w:rPr>
        <w:br/>
        <w:t xml:space="preserve">( </w:t>
      </w:r>
      <w:hyperlink r:id="rId12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16" w:name="18"/>
      <w:bookmarkEnd w:id="16"/>
      <w:r>
        <w:t xml:space="preserve">     1.  Цей Порядок визначає вимоги до отримання, використання та </w:t>
      </w:r>
      <w:r>
        <w:br/>
        <w:t xml:space="preserve">обліку  благодійних  (добровільних)  внесків  і  пожертв  (далі  - </w:t>
      </w:r>
      <w:r>
        <w:br/>
        <w:t xml:space="preserve">благодійні  внески)  від юридичних та фізичних осіб - резидентів і </w:t>
      </w:r>
      <w:r>
        <w:br/>
        <w:t xml:space="preserve">нерезидентів   (далі   -  благодійники)  безпосередньо  бюджетними </w:t>
      </w:r>
      <w:r>
        <w:br/>
        <w:t xml:space="preserve">установами  і  закладами  освіти,  охорони  здоров'я,  соціального </w:t>
      </w:r>
      <w:r>
        <w:br/>
        <w:t xml:space="preserve">захисту,  культури,  науки,  спорту та фізичного виховання (далі - </w:t>
      </w:r>
      <w:r>
        <w:br/>
        <w:t>набувачі).</w:t>
      </w:r>
    </w:p>
    <w:p w:rsidR="001F2A1D" w:rsidRDefault="001F2A1D" w:rsidP="001F2A1D">
      <w:pPr>
        <w:pStyle w:val="HTML"/>
      </w:pPr>
      <w:bookmarkStart w:id="17" w:name="19"/>
      <w:bookmarkEnd w:id="17"/>
      <w:r>
        <w:rPr>
          <w:i/>
          <w:iCs/>
        </w:rPr>
        <w:t xml:space="preserve">{  Пункт  1  із  змінами,  внесеними  згідно з Постановою КМ N 368 </w:t>
      </w:r>
      <w:r>
        <w:rPr>
          <w:i/>
          <w:iCs/>
        </w:rPr>
        <w:br/>
        <w:t xml:space="preserve">( </w:t>
      </w:r>
      <w:hyperlink r:id="rId13" w:history="1">
        <w:r>
          <w:rPr>
            <w:rStyle w:val="a3"/>
            <w:i/>
            <w:iCs/>
          </w:rPr>
          <w:t>368-2009-п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1F2A1D" w:rsidRDefault="001F2A1D" w:rsidP="001F2A1D">
      <w:pPr>
        <w:pStyle w:val="HTML"/>
      </w:pPr>
      <w:bookmarkStart w:id="18" w:name="20"/>
      <w:bookmarkEnd w:id="18"/>
      <w:r>
        <w:t xml:space="preserve">     2. Благодійні   внески   можуть   надаватися   благодійниками </w:t>
      </w:r>
      <w:r>
        <w:br/>
        <w:t xml:space="preserve">набувачам у грошовій формі для потреб їх фінансування за напрямами </w:t>
      </w:r>
      <w:r>
        <w:br/>
        <w:t xml:space="preserve">видатків,  визначеними благодійником,  а також як товари,  роботи, </w:t>
      </w:r>
      <w:r>
        <w:br/>
        <w:t xml:space="preserve">послуги.  Якщо благодійником конкретні цілі використання коштів не </w:t>
      </w:r>
      <w:r>
        <w:br/>
        <w:t xml:space="preserve">визначено,  шляхи  спрямування  благодійного  внеску  визначаються </w:t>
      </w:r>
      <w:r>
        <w:br/>
        <w:t xml:space="preserve">керівником   установи,   закладу   -   набувачів   відповідно   до </w:t>
      </w:r>
      <w:r>
        <w:br/>
        <w:t xml:space="preserve">першочергових  потреб,  пов'язаних  виключно з основною діяльністю </w:t>
      </w:r>
      <w:r>
        <w:br/>
        <w:t xml:space="preserve">установи, закладу. </w:t>
      </w:r>
      <w:r>
        <w:br/>
      </w:r>
    </w:p>
    <w:p w:rsidR="001F2A1D" w:rsidRDefault="001F2A1D" w:rsidP="001F2A1D">
      <w:pPr>
        <w:pStyle w:val="HTML"/>
      </w:pPr>
      <w:bookmarkStart w:id="19" w:name="21"/>
      <w:bookmarkEnd w:id="19"/>
      <w:r>
        <w:t xml:space="preserve">     Частина  коштів, отриманих як благодійні (добровільні) внески </w:t>
      </w:r>
      <w:r>
        <w:br/>
        <w:t xml:space="preserve">і пожертви від юридичних та фізичних осіб,  може спрямовуватися на </w:t>
      </w:r>
      <w:r>
        <w:br/>
        <w:t xml:space="preserve">виплату  заробітної  плати  працівників установ і закладів освіти, </w:t>
      </w:r>
      <w:r>
        <w:br/>
        <w:t xml:space="preserve">охорони здоров'я, соціального захисту, культури, науки,, спорту та </w:t>
      </w:r>
      <w:r>
        <w:br/>
        <w:t xml:space="preserve">фізичного  виховання відповідно до кошторисів зазначених установ і </w:t>
      </w:r>
      <w:r>
        <w:br/>
        <w:t xml:space="preserve">закладів з дотриманням вимог Закону України "Про благодійництво та </w:t>
      </w:r>
      <w:r>
        <w:br/>
        <w:t xml:space="preserve">благодійні організації"  (  </w:t>
      </w:r>
      <w:hyperlink r:id="rId14" w:history="1">
        <w:r>
          <w:rPr>
            <w:rStyle w:val="a3"/>
          </w:rPr>
          <w:t>531/97-ВР</w:t>
        </w:r>
      </w:hyperlink>
      <w:r>
        <w:t xml:space="preserve"> ) у разі,  коли такий напрям </w:t>
      </w:r>
      <w:r>
        <w:br/>
        <w:t xml:space="preserve">видатків  визначений  благодійником.  {  Абзац  другий  пункту 2 в </w:t>
      </w:r>
      <w:r>
        <w:br/>
        <w:t xml:space="preserve">редакції  Постанови  КМ  N 368 ( </w:t>
      </w:r>
      <w:hyperlink r:id="rId15" w:history="1">
        <w:r>
          <w:rPr>
            <w:rStyle w:val="a3"/>
          </w:rPr>
          <w:t>368-2009-п</w:t>
        </w:r>
      </w:hyperlink>
      <w:r>
        <w:t xml:space="preserve"> ) від 14.04.2009 - дію </w:t>
      </w:r>
      <w:r>
        <w:br/>
        <w:t xml:space="preserve">зміни  зупинено згідно з Указом Президента N 287/2009 ( </w:t>
      </w:r>
      <w:hyperlink r:id="rId16" w:history="1">
        <w:r>
          <w:rPr>
            <w:rStyle w:val="a3"/>
          </w:rPr>
          <w:t>287/2009</w:t>
        </w:r>
      </w:hyperlink>
      <w:r>
        <w:t xml:space="preserve"> ) </w:t>
      </w:r>
      <w:r>
        <w:br/>
        <w:t xml:space="preserve">від   30.04.2009;  зміну  визнано  неконституційною,  на  підставі </w:t>
      </w:r>
      <w:r>
        <w:br/>
        <w:t xml:space="preserve">Рішення  Конституційного  Суду  N  28-рп/2009  ( </w:t>
      </w:r>
      <w:hyperlink r:id="rId17" w:history="1">
        <w:r>
          <w:rPr>
            <w:rStyle w:val="a3"/>
          </w:rPr>
          <w:t>v028p710-09</w:t>
        </w:r>
      </w:hyperlink>
      <w:r>
        <w:t xml:space="preserve"> ) від </w:t>
      </w:r>
      <w:r>
        <w:br/>
        <w:t xml:space="preserve">28.10.2009;  абзац  другий  пункту 2 в редакції Постанови КМ N 245 </w:t>
      </w:r>
      <w:r>
        <w:br/>
        <w:t xml:space="preserve">( </w:t>
      </w:r>
      <w:hyperlink r:id="rId18" w:history="1">
        <w:r>
          <w:rPr>
            <w:rStyle w:val="a3"/>
          </w:rPr>
          <w:t>245-2010-п</w:t>
        </w:r>
      </w:hyperlink>
      <w:r>
        <w:t xml:space="preserve"> ) від 17.02.2010 } </w:t>
      </w:r>
      <w:r>
        <w:br/>
      </w:r>
    </w:p>
    <w:p w:rsidR="001F2A1D" w:rsidRDefault="001F2A1D" w:rsidP="001F2A1D">
      <w:pPr>
        <w:pStyle w:val="HTML"/>
      </w:pPr>
      <w:bookmarkStart w:id="20" w:name="22"/>
      <w:bookmarkEnd w:id="20"/>
      <w:r>
        <w:t xml:space="preserve">     3. Благодійні внески не  можуть  заміняти  плату  за  надання </w:t>
      </w:r>
      <w:r>
        <w:br/>
        <w:t xml:space="preserve">установами і закладами платних послуг за переліками, визначеними в </w:t>
      </w:r>
      <w:r>
        <w:br/>
        <w:t xml:space="preserve">установленому порядку. </w:t>
      </w:r>
      <w:r>
        <w:br/>
      </w:r>
    </w:p>
    <w:p w:rsidR="001F2A1D" w:rsidRDefault="001F2A1D" w:rsidP="001F2A1D">
      <w:pPr>
        <w:pStyle w:val="HTML"/>
      </w:pPr>
      <w:bookmarkStart w:id="21" w:name="23"/>
      <w:bookmarkEnd w:id="21"/>
      <w:r>
        <w:t xml:space="preserve">     4. Благодійні  внески  у  грошовій  формі  зараховуються   на </w:t>
      </w:r>
      <w:r>
        <w:br/>
        <w:t xml:space="preserve">рахунок  "Суми  за  дорученням".  Облік  товарів,  робіт і послуг, </w:t>
      </w:r>
      <w:r>
        <w:br/>
        <w:t xml:space="preserve">отриманих як благодійна  допомога,  ведеться  згідно  з  Порядком, </w:t>
      </w:r>
      <w:r>
        <w:br/>
        <w:t xml:space="preserve">визначеним  постановою  Кабінету  Міністрів  України від 17 серпня </w:t>
      </w:r>
      <w:r>
        <w:br/>
        <w:t xml:space="preserve">1998 р.  N 1295 ( </w:t>
      </w:r>
      <w:hyperlink r:id="rId19" w:history="1">
        <w:r>
          <w:rPr>
            <w:rStyle w:val="a3"/>
          </w:rPr>
          <w:t>1295-98-п</w:t>
        </w:r>
      </w:hyperlink>
      <w:r>
        <w:t xml:space="preserve"> ) "Про затвердження Порядку  розподілу </w:t>
      </w:r>
      <w:r>
        <w:br/>
        <w:t xml:space="preserve">товарів, отриманих як благодійна допомога, та контролю за цільовим </w:t>
      </w:r>
      <w:r>
        <w:br/>
        <w:t xml:space="preserve">розподілом благодійної  допомоги  у  вигляді  наданих  послуг  або </w:t>
      </w:r>
      <w:r>
        <w:br/>
        <w:t xml:space="preserve">виконаних  робіт"  (Офіційний   вісник   України,   1998 р,  N 33, </w:t>
      </w:r>
      <w:r>
        <w:br/>
        <w:t xml:space="preserve">ст. 1238, N 46, ст. 1688). </w:t>
      </w:r>
      <w:r>
        <w:br/>
      </w:r>
    </w:p>
    <w:p w:rsidR="001F2A1D" w:rsidRDefault="001F2A1D" w:rsidP="001F2A1D">
      <w:pPr>
        <w:pStyle w:val="HTML"/>
      </w:pPr>
      <w:bookmarkStart w:id="22" w:name="24"/>
      <w:bookmarkEnd w:id="22"/>
      <w:r>
        <w:t xml:space="preserve">     Після надходження благодійного внеску набувач  вносить  зміни </w:t>
      </w:r>
      <w:r>
        <w:br/>
        <w:t xml:space="preserve">до   спеціального   фонду  кошторису  за  напрямами  видатків,  що </w:t>
      </w:r>
      <w:r>
        <w:br/>
        <w:t xml:space="preserve">визначаються  відповідно  до   пункту   2   Порядку,   визначеного </w:t>
      </w:r>
      <w:r>
        <w:br/>
        <w:t xml:space="preserve">постановою Кабінету  Міністрів  України  від 9 січня 2000 р.  N 17 </w:t>
      </w:r>
      <w:r>
        <w:br/>
        <w:t xml:space="preserve">( </w:t>
      </w:r>
      <w:hyperlink r:id="rId20" w:history="1">
        <w:r>
          <w:rPr>
            <w:rStyle w:val="a3"/>
          </w:rPr>
          <w:t>17-2000-п</w:t>
        </w:r>
      </w:hyperlink>
      <w:r>
        <w:t xml:space="preserve"> ) "Про Порядок складання,  розгляду,  затвердження  та </w:t>
      </w:r>
      <w:r>
        <w:br/>
        <w:t xml:space="preserve">основні  вимоги  щодо  виконання  кошторисів  доходів  і  видатків </w:t>
      </w:r>
      <w:r>
        <w:br/>
        <w:t xml:space="preserve">бюджетних  установ  та  організацій"  (Офіційний  вісник  України, </w:t>
      </w:r>
      <w:r>
        <w:br/>
        <w:t xml:space="preserve">2000 р., N 2, ст. 40). </w:t>
      </w:r>
      <w:r>
        <w:br/>
      </w:r>
    </w:p>
    <w:p w:rsidR="001F2A1D" w:rsidRDefault="001F2A1D" w:rsidP="001F2A1D">
      <w:pPr>
        <w:pStyle w:val="HTML"/>
      </w:pPr>
      <w:bookmarkStart w:id="23" w:name="25"/>
      <w:bookmarkEnd w:id="23"/>
      <w:r>
        <w:t xml:space="preserve">     5. Бухгалтерський    облік   благодійних   внесків   ведеться </w:t>
      </w:r>
      <w:r>
        <w:br/>
        <w:t xml:space="preserve">відповідно  до  Порядку  бухгалтерського  обліку  та  звітності  в </w:t>
      </w:r>
      <w:r>
        <w:br/>
        <w:t xml:space="preserve">бюджетних  установах гуманітарної допомоги,  затвердженому наказом </w:t>
      </w:r>
      <w:r>
        <w:br/>
      </w:r>
      <w:r>
        <w:lastRenderedPageBreak/>
        <w:t xml:space="preserve">Головного управління Державного казначейства від 10 грудня 1999 р. </w:t>
      </w:r>
      <w:r>
        <w:br/>
        <w:t xml:space="preserve">N 113 ( </w:t>
      </w:r>
      <w:hyperlink r:id="rId21" w:history="1">
        <w:r>
          <w:rPr>
            <w:rStyle w:val="a3"/>
          </w:rPr>
          <w:t>z0012-00</w:t>
        </w:r>
      </w:hyperlink>
      <w:r>
        <w:t xml:space="preserve"> ). </w:t>
      </w:r>
    </w:p>
    <w:p w:rsidR="001F2A1D" w:rsidRDefault="001F2A1D" w:rsidP="001F2A1D"/>
    <w:p w:rsidR="001F2A1D" w:rsidRDefault="001F2A1D" w:rsidP="001F2A1D"/>
    <w:p w:rsidR="001F2A1D" w:rsidRDefault="001F2A1D"/>
    <w:sectPr w:rsidR="001F2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1F2A1D"/>
    <w:rsid w:val="001F2A1D"/>
    <w:rsid w:val="009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A1D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F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rsid w:val="001F2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v028p710-09');" TargetMode="External"/><Relationship Id="rId13" Type="http://schemas.openxmlformats.org/officeDocument/2006/relationships/hyperlink" Target="javascript:OpenDoc('368-2009-&#1087;');" TargetMode="External"/><Relationship Id="rId18" Type="http://schemas.openxmlformats.org/officeDocument/2006/relationships/hyperlink" Target="javascript:OpenDoc('245-2010-&#1087;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Doc('z0012-00');" TargetMode="External"/><Relationship Id="rId7" Type="http://schemas.openxmlformats.org/officeDocument/2006/relationships/hyperlink" Target="javascript:OpenDoc('287/2009');" TargetMode="External"/><Relationship Id="rId12" Type="http://schemas.openxmlformats.org/officeDocument/2006/relationships/hyperlink" Target="javascript:OpenDoc('368-2009-&#1087;');" TargetMode="External"/><Relationship Id="rId17" Type="http://schemas.openxmlformats.org/officeDocument/2006/relationships/hyperlink" Target="javascript:OpenDoc('v028p710-09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287/2009');" TargetMode="External"/><Relationship Id="rId20" Type="http://schemas.openxmlformats.org/officeDocument/2006/relationships/hyperlink" Target="javascript:OpenDoc('17-2000-&#1087;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368-2009-&#1087;');" TargetMode="External"/><Relationship Id="rId11" Type="http://schemas.openxmlformats.org/officeDocument/2006/relationships/hyperlink" Target="javascript:OpenDoc('368-2009-&#1087;');" TargetMode="External"/><Relationship Id="rId5" Type="http://schemas.openxmlformats.org/officeDocument/2006/relationships/hyperlink" Target="javascript:OpenDoc('368-2009-&#1087;');" TargetMode="External"/><Relationship Id="rId15" Type="http://schemas.openxmlformats.org/officeDocument/2006/relationships/hyperlink" Target="javascript:OpenDoc('368-2009-&#1087;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OpenDoc('368-2009-&#1087;');" TargetMode="External"/><Relationship Id="rId19" Type="http://schemas.openxmlformats.org/officeDocument/2006/relationships/hyperlink" Target="javascript:OpenDoc('1295-98-&#1087;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OpenDoc('245-2010-&#1087;');" TargetMode="External"/><Relationship Id="rId14" Type="http://schemas.openxmlformats.org/officeDocument/2006/relationships/hyperlink" Target="javascript:OpenDoc('531/97-&#1074;&#1088;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Links>
    <vt:vector size="102" baseType="variant"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javascript:OpenDoc('z0012-00');</vt:lpwstr>
      </vt:variant>
      <vt:variant>
        <vt:lpwstr/>
      </vt:variant>
      <vt:variant>
        <vt:i4>5243908</vt:i4>
      </vt:variant>
      <vt:variant>
        <vt:i4>48</vt:i4>
      </vt:variant>
      <vt:variant>
        <vt:i4>0</vt:i4>
      </vt:variant>
      <vt:variant>
        <vt:i4>5</vt:i4>
      </vt:variant>
      <vt:variant>
        <vt:lpwstr>javascript:OpenDoc('17-2000-п');</vt:lpwstr>
      </vt:variant>
      <vt:variant>
        <vt:lpwstr/>
      </vt:variant>
      <vt:variant>
        <vt:i4>5964805</vt:i4>
      </vt:variant>
      <vt:variant>
        <vt:i4>45</vt:i4>
      </vt:variant>
      <vt:variant>
        <vt:i4>0</vt:i4>
      </vt:variant>
      <vt:variant>
        <vt:i4>5</vt:i4>
      </vt:variant>
      <vt:variant>
        <vt:lpwstr>javascript:OpenDoc('1295-98-п');</vt:lpwstr>
      </vt:variant>
      <vt:variant>
        <vt:lpwstr/>
      </vt:variant>
      <vt:variant>
        <vt:i4>73072640</vt:i4>
      </vt:variant>
      <vt:variant>
        <vt:i4>42</vt:i4>
      </vt:variant>
      <vt:variant>
        <vt:i4>0</vt:i4>
      </vt:variant>
      <vt:variant>
        <vt:i4>5</vt:i4>
      </vt:variant>
      <vt:variant>
        <vt:lpwstr>javascript:OpenDoc('245-2010-п');</vt:lpwstr>
      </vt:variant>
      <vt:variant>
        <vt:lpwstr/>
      </vt:variant>
      <vt:variant>
        <vt:i4>7798838</vt:i4>
      </vt:variant>
      <vt:variant>
        <vt:i4>39</vt:i4>
      </vt:variant>
      <vt:variant>
        <vt:i4>0</vt:i4>
      </vt:variant>
      <vt:variant>
        <vt:i4>5</vt:i4>
      </vt:variant>
      <vt:variant>
        <vt:lpwstr>javascript:OpenDoc('v028p710-09');</vt:lpwstr>
      </vt:variant>
      <vt:variant>
        <vt:lpwstr/>
      </vt:variant>
      <vt:variant>
        <vt:i4>6488110</vt:i4>
      </vt:variant>
      <vt:variant>
        <vt:i4>36</vt:i4>
      </vt:variant>
      <vt:variant>
        <vt:i4>0</vt:i4>
      </vt:variant>
      <vt:variant>
        <vt:i4>5</vt:i4>
      </vt:variant>
      <vt:variant>
        <vt:lpwstr>javascript:OpenDoc('287/2009');</vt:lpwstr>
      </vt:variant>
      <vt:variant>
        <vt:lpwstr/>
      </vt:variant>
      <vt:variant>
        <vt:i4>72351757</vt:i4>
      </vt:variant>
      <vt:variant>
        <vt:i4>33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72418423</vt:i4>
      </vt:variant>
      <vt:variant>
        <vt:i4>30</vt:i4>
      </vt:variant>
      <vt:variant>
        <vt:i4>0</vt:i4>
      </vt:variant>
      <vt:variant>
        <vt:i4>5</vt:i4>
      </vt:variant>
      <vt:variant>
        <vt:lpwstr>javascript:OpenDoc('531/97-вр');</vt:lpwstr>
      </vt:variant>
      <vt:variant>
        <vt:lpwstr/>
      </vt:variant>
      <vt:variant>
        <vt:i4>72351757</vt:i4>
      </vt:variant>
      <vt:variant>
        <vt:i4>27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72351757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72351757</vt:i4>
      </vt:variant>
      <vt:variant>
        <vt:i4>21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72351757</vt:i4>
      </vt:variant>
      <vt:variant>
        <vt:i4>18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73072640</vt:i4>
      </vt:variant>
      <vt:variant>
        <vt:i4>15</vt:i4>
      </vt:variant>
      <vt:variant>
        <vt:i4>0</vt:i4>
      </vt:variant>
      <vt:variant>
        <vt:i4>5</vt:i4>
      </vt:variant>
      <vt:variant>
        <vt:lpwstr>javascript:OpenDoc('245-2010-п');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javascript:OpenDoc('v028p710-09');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javascript:OpenDoc('287/2009');</vt:lpwstr>
      </vt:variant>
      <vt:variant>
        <vt:lpwstr/>
      </vt:variant>
      <vt:variant>
        <vt:i4>72351757</vt:i4>
      </vt:variant>
      <vt:variant>
        <vt:i4>6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  <vt:variant>
        <vt:i4>72351757</vt:i4>
      </vt:variant>
      <vt:variant>
        <vt:i4>3</vt:i4>
      </vt:variant>
      <vt:variant>
        <vt:i4>0</vt:i4>
      </vt:variant>
      <vt:variant>
        <vt:i4>5</vt:i4>
      </vt:variant>
      <vt:variant>
        <vt:lpwstr>javascript:OpenDoc('368-2009-п');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</dc:creator>
  <cp:keywords/>
  <cp:lastModifiedBy>Гупалов Олександр Iванович</cp:lastModifiedBy>
  <cp:revision>2</cp:revision>
  <dcterms:created xsi:type="dcterms:W3CDTF">2012-04-06T08:42:00Z</dcterms:created>
  <dcterms:modified xsi:type="dcterms:W3CDTF">2012-04-06T08:42:00Z</dcterms:modified>
</cp:coreProperties>
</file>